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DD6" w:rsidRPr="002D0E09" w:rsidRDefault="00A84DD6" w:rsidP="002D0E09">
      <w:pPr>
        <w:spacing w:line="480" w:lineRule="auto"/>
        <w:rPr>
          <w:rFonts w:ascii="Times New Roman" w:hAnsi="Times New Roman" w:cs="Times New Roman"/>
        </w:rPr>
      </w:pPr>
      <w:r w:rsidRPr="002D0E09">
        <w:rPr>
          <w:rFonts w:ascii="Times New Roman" w:hAnsi="Times New Roman" w:cs="Times New Roman"/>
        </w:rPr>
        <w:t>Student's Name</w:t>
      </w:r>
    </w:p>
    <w:p w:rsidR="00A84DD6" w:rsidRPr="002D0E09" w:rsidRDefault="00A84DD6" w:rsidP="002D0E09">
      <w:pPr>
        <w:spacing w:line="480" w:lineRule="auto"/>
        <w:rPr>
          <w:rFonts w:ascii="Times New Roman" w:hAnsi="Times New Roman" w:cs="Times New Roman"/>
        </w:rPr>
      </w:pPr>
      <w:r w:rsidRPr="002D0E09">
        <w:rPr>
          <w:rFonts w:ascii="Times New Roman" w:hAnsi="Times New Roman" w:cs="Times New Roman"/>
        </w:rPr>
        <w:t>Professor</w:t>
      </w:r>
    </w:p>
    <w:p w:rsidR="00A84DD6" w:rsidRPr="002D0E09" w:rsidRDefault="00A84DD6" w:rsidP="002D0E09">
      <w:pPr>
        <w:spacing w:line="480" w:lineRule="auto"/>
        <w:rPr>
          <w:rFonts w:ascii="Times New Roman" w:hAnsi="Times New Roman" w:cs="Times New Roman"/>
        </w:rPr>
      </w:pPr>
      <w:r w:rsidRPr="002D0E09">
        <w:rPr>
          <w:rFonts w:ascii="Times New Roman" w:hAnsi="Times New Roman" w:cs="Times New Roman"/>
        </w:rPr>
        <w:t>Course</w:t>
      </w:r>
    </w:p>
    <w:p w:rsidR="00A84DD6" w:rsidRPr="002D0E09" w:rsidRDefault="00A84DD6" w:rsidP="002D0E09">
      <w:pPr>
        <w:spacing w:line="480" w:lineRule="auto"/>
        <w:rPr>
          <w:rFonts w:ascii="Times New Roman" w:hAnsi="Times New Roman" w:cs="Times New Roman"/>
        </w:rPr>
      </w:pPr>
      <w:r w:rsidRPr="002D0E09">
        <w:rPr>
          <w:rFonts w:ascii="Times New Roman" w:hAnsi="Times New Roman" w:cs="Times New Roman"/>
        </w:rPr>
        <w:t>Date</w:t>
      </w:r>
    </w:p>
    <w:p w:rsidR="00A84DD6" w:rsidRPr="002D0E09" w:rsidRDefault="00A84DD6" w:rsidP="002D0E09">
      <w:pPr>
        <w:spacing w:line="480" w:lineRule="auto"/>
        <w:jc w:val="center"/>
        <w:rPr>
          <w:rFonts w:ascii="Times New Roman" w:hAnsi="Times New Roman" w:cs="Times New Roman"/>
          <w:shd w:val="clear" w:color="auto" w:fill="FFFFFF"/>
        </w:rPr>
      </w:pPr>
      <w:r w:rsidRPr="002D0E09">
        <w:rPr>
          <w:rFonts w:ascii="Times New Roman" w:hAnsi="Times New Roman" w:cs="Times New Roman"/>
          <w:shd w:val="clear" w:color="auto" w:fill="FFFFFF"/>
        </w:rPr>
        <w:t>Lawrence vs. Texas</w:t>
      </w:r>
    </w:p>
    <w:p w:rsidR="00A84DD6" w:rsidRPr="002D0E09" w:rsidRDefault="00A84DD6" w:rsidP="002D0E09">
      <w:pPr>
        <w:spacing w:line="480" w:lineRule="auto"/>
        <w:jc w:val="center"/>
        <w:rPr>
          <w:rFonts w:ascii="Times New Roman" w:hAnsi="Times New Roman" w:cs="Times New Roman"/>
          <w:b/>
          <w:shd w:val="clear" w:color="auto" w:fill="FFFFFF"/>
        </w:rPr>
      </w:pPr>
      <w:r w:rsidRPr="002D0E09">
        <w:rPr>
          <w:rFonts w:ascii="Times New Roman" w:hAnsi="Times New Roman" w:cs="Times New Roman"/>
          <w:b/>
          <w:shd w:val="clear" w:color="auto" w:fill="FFFFFF"/>
        </w:rPr>
        <w:t>A brief summary of case facts</w:t>
      </w:r>
    </w:p>
    <w:p w:rsidR="00A84DD6" w:rsidRPr="002D0E09" w:rsidRDefault="00A84DD6" w:rsidP="002D0E09">
      <w:pPr>
        <w:spacing w:line="480" w:lineRule="auto"/>
        <w:ind w:firstLine="720"/>
        <w:rPr>
          <w:rFonts w:ascii="Times New Roman" w:hAnsi="Times New Roman" w:cs="Times New Roman"/>
          <w:shd w:val="clear" w:color="auto" w:fill="FFFFFF"/>
        </w:rPr>
      </w:pPr>
      <w:r w:rsidRPr="002D0E09">
        <w:rPr>
          <w:rFonts w:ascii="Times New Roman" w:hAnsi="Times New Roman" w:cs="Times New Roman"/>
          <w:shd w:val="clear" w:color="auto" w:fill="FFFFFF"/>
        </w:rPr>
        <w:t>Houston police entered John Lawrence's private apartment in response to reported weapon disturbance. The police found Lawrence together with his male counterpart, Tyron Garner, engaging in private, consensual sexual acts (</w:t>
      </w:r>
      <w:r w:rsidRPr="002D0E09">
        <w:rPr>
          <w:rFonts w:ascii="Times New Roman" w:hAnsi="Times New Roman" w:cs="Times New Roman"/>
          <w:bCs/>
        </w:rPr>
        <w:t>Kanovitz, p.4)</w:t>
      </w:r>
      <w:r w:rsidRPr="002D0E09">
        <w:rPr>
          <w:rFonts w:ascii="Times New Roman" w:hAnsi="Times New Roman" w:cs="Times New Roman"/>
          <w:shd w:val="clear" w:color="auto" w:fill="FFFFFF"/>
        </w:rPr>
        <w:t>. Lawrence and Garner were arrested and convicted of engaging in deviant sexual intercourse in violation of the Texas statute. The statute forbids two persons with the same sex to participate in a specific intimate sexual act (</w:t>
      </w:r>
      <w:r w:rsidRPr="002D0E09">
        <w:rPr>
          <w:rFonts w:ascii="Times New Roman" w:hAnsi="Times New Roman" w:cs="Times New Roman"/>
          <w:bCs/>
        </w:rPr>
        <w:t>Kanovitz, p.4)</w:t>
      </w:r>
      <w:r w:rsidRPr="002D0E09">
        <w:rPr>
          <w:rFonts w:ascii="Times New Roman" w:hAnsi="Times New Roman" w:cs="Times New Roman"/>
          <w:shd w:val="clear" w:color="auto" w:fill="FFFFFF"/>
        </w:rPr>
        <w:t>. The Court of Appeal ruled out that the statute was constitutional based on the Due Process Clause of the 14</w:t>
      </w:r>
      <w:r w:rsidRPr="002D0E09">
        <w:rPr>
          <w:rFonts w:ascii="Times New Roman" w:hAnsi="Times New Roman" w:cs="Times New Roman"/>
          <w:shd w:val="clear" w:color="auto" w:fill="FFFFFF"/>
          <w:vertAlign w:val="superscript"/>
        </w:rPr>
        <w:t>th</w:t>
      </w:r>
      <w:r w:rsidRPr="002D0E09">
        <w:rPr>
          <w:rFonts w:ascii="Times New Roman" w:hAnsi="Times New Roman" w:cs="Times New Roman"/>
          <w:shd w:val="clear" w:color="auto" w:fill="FFFFFF"/>
        </w:rPr>
        <w:t xml:space="preserve"> amendment under the control of </w:t>
      </w:r>
      <w:hyperlink r:id="rId6" w:history="1">
        <w:r w:rsidRPr="002D0E09">
          <w:rPr>
            <w:rStyle w:val="Hyperlink"/>
            <w:rFonts w:ascii="Times New Roman" w:hAnsi="Times New Roman" w:cs="Times New Roman"/>
            <w:color w:val="auto"/>
            <w:u w:val="none"/>
          </w:rPr>
          <w:t>Bowers v. Hardwick (1986)</w:t>
        </w:r>
      </w:hyperlink>
      <w:r w:rsidRPr="002D0E09">
        <w:rPr>
          <w:rFonts w:ascii="Times New Roman" w:hAnsi="Times New Roman" w:cs="Times New Roman"/>
        </w:rPr>
        <w:t>.</w:t>
      </w:r>
    </w:p>
    <w:p w:rsidR="00A84DD6" w:rsidRPr="002D0E09" w:rsidRDefault="00A84DD6" w:rsidP="002D0E09">
      <w:pPr>
        <w:spacing w:line="480" w:lineRule="auto"/>
        <w:jc w:val="center"/>
        <w:rPr>
          <w:rFonts w:ascii="Times New Roman" w:hAnsi="Times New Roman" w:cs="Times New Roman"/>
          <w:b/>
          <w:shd w:val="clear" w:color="auto" w:fill="FFFFFF"/>
        </w:rPr>
      </w:pPr>
      <w:r w:rsidRPr="002D0E09">
        <w:rPr>
          <w:rFonts w:ascii="Times New Roman" w:hAnsi="Times New Roman" w:cs="Times New Roman"/>
          <w:b/>
          <w:shd w:val="clear" w:color="auto" w:fill="FFFFFF"/>
        </w:rPr>
        <w:t>A brief statement of questions</w:t>
      </w:r>
    </w:p>
    <w:p w:rsidR="00A84DD6" w:rsidRPr="002D0E09" w:rsidRDefault="00A84DD6" w:rsidP="002D0E09">
      <w:pPr>
        <w:spacing w:line="480" w:lineRule="auto"/>
        <w:ind w:firstLine="720"/>
        <w:rPr>
          <w:rFonts w:ascii="Times New Roman" w:hAnsi="Times New Roman" w:cs="Times New Roman"/>
          <w:shd w:val="clear" w:color="auto" w:fill="FFFFFF"/>
        </w:rPr>
      </w:pPr>
      <w:r w:rsidRPr="002D0E09">
        <w:rPr>
          <w:rFonts w:ascii="Times New Roman" w:hAnsi="Times New Roman" w:cs="Times New Roman"/>
          <w:shd w:val="clear" w:color="auto" w:fill="FFFFFF"/>
        </w:rPr>
        <w:t>Did the criminal conviction of Lawrence and Garner for adult, consensual sexual intimacy violate their primary right in privacy and liberty by the Due Process Clause of the 14</w:t>
      </w:r>
      <w:r w:rsidRPr="002D0E09">
        <w:rPr>
          <w:rFonts w:ascii="Times New Roman" w:hAnsi="Times New Roman" w:cs="Times New Roman"/>
          <w:shd w:val="clear" w:color="auto" w:fill="FFFFFF"/>
          <w:vertAlign w:val="superscript"/>
        </w:rPr>
        <w:t>th</w:t>
      </w:r>
      <w:r w:rsidRPr="002D0E09">
        <w:rPr>
          <w:rFonts w:ascii="Times New Roman" w:hAnsi="Times New Roman" w:cs="Times New Roman"/>
          <w:shd w:val="clear" w:color="auto" w:fill="FFFFFF"/>
        </w:rPr>
        <w:t xml:space="preserve"> amendment</w:t>
      </w:r>
      <w:r w:rsidR="002D0E09">
        <w:rPr>
          <w:rFonts w:ascii="Times New Roman" w:hAnsi="Times New Roman" w:cs="Times New Roman"/>
          <w:shd w:val="clear" w:color="auto" w:fill="FFFFFF"/>
        </w:rPr>
        <w:t xml:space="preserve">? </w:t>
      </w:r>
      <w:r w:rsidRPr="002D0E09">
        <w:rPr>
          <w:rFonts w:ascii="Times New Roman" w:hAnsi="Times New Roman" w:cs="Times New Roman"/>
          <w:shd w:val="clear" w:color="auto" w:fill="FFFFFF"/>
        </w:rPr>
        <w:t xml:space="preserve">Do the criminal convictions of the two victims, under the Texas Homosexual legislature, which forbids sex by couples of similar </w:t>
      </w:r>
      <w:r w:rsidR="002D0E09" w:rsidRPr="002D0E09">
        <w:rPr>
          <w:rFonts w:ascii="Times New Roman" w:hAnsi="Times New Roman" w:cs="Times New Roman"/>
          <w:shd w:val="clear" w:color="auto" w:fill="FFFFFF"/>
        </w:rPr>
        <w:t>sex,</w:t>
      </w:r>
      <w:r w:rsidRPr="002D0E09">
        <w:rPr>
          <w:rFonts w:ascii="Times New Roman" w:hAnsi="Times New Roman" w:cs="Times New Roman"/>
          <w:shd w:val="clear" w:color="auto" w:fill="FFFFFF"/>
        </w:rPr>
        <w:t xml:space="preserve"> violate the Fourteenth Amendment assurance of equal protection of laws</w:t>
      </w:r>
      <w:r w:rsidR="002D0E09">
        <w:rPr>
          <w:rFonts w:ascii="Times New Roman" w:hAnsi="Times New Roman" w:cs="Times New Roman"/>
          <w:shd w:val="clear" w:color="auto" w:fill="FFFFFF"/>
        </w:rPr>
        <w:t xml:space="preserve">? </w:t>
      </w:r>
      <w:r w:rsidRPr="002D0E09">
        <w:rPr>
          <w:rFonts w:ascii="Times New Roman" w:hAnsi="Times New Roman" w:cs="Times New Roman"/>
          <w:shd w:val="clear" w:color="auto" w:fill="FFFFFF"/>
        </w:rPr>
        <w:t xml:space="preserve">Can the decision which was made by </w:t>
      </w:r>
      <w:hyperlink r:id="rId7" w:history="1">
        <w:r w:rsidRPr="002D0E09">
          <w:rPr>
            <w:rStyle w:val="Hyperlink"/>
            <w:rFonts w:ascii="Times New Roman" w:hAnsi="Times New Roman" w:cs="Times New Roman"/>
            <w:color w:val="auto"/>
            <w:u w:val="none"/>
          </w:rPr>
          <w:t>Bowers v. Hardwick (1986)</w:t>
        </w:r>
      </w:hyperlink>
      <w:r w:rsidRPr="002D0E09">
        <w:rPr>
          <w:rFonts w:ascii="Times New Roman" w:hAnsi="Times New Roman" w:cs="Times New Roman"/>
        </w:rPr>
        <w:t xml:space="preserve"> be overruled?</w:t>
      </w:r>
    </w:p>
    <w:p w:rsidR="00A84DD6" w:rsidRPr="002D0E09" w:rsidRDefault="00A84DD6" w:rsidP="002D0E09">
      <w:pPr>
        <w:spacing w:line="480" w:lineRule="auto"/>
        <w:jc w:val="center"/>
        <w:rPr>
          <w:rFonts w:ascii="Times New Roman" w:hAnsi="Times New Roman" w:cs="Times New Roman"/>
          <w:b/>
          <w:shd w:val="clear" w:color="auto" w:fill="FFFFFF"/>
        </w:rPr>
      </w:pPr>
      <w:r w:rsidRPr="002D0E09">
        <w:rPr>
          <w:rFonts w:ascii="Times New Roman" w:hAnsi="Times New Roman" w:cs="Times New Roman"/>
          <w:b/>
          <w:shd w:val="clear" w:color="auto" w:fill="FFFFFF"/>
        </w:rPr>
        <w:t>A brief statement of the ruling</w:t>
      </w:r>
    </w:p>
    <w:p w:rsidR="00A84DD6" w:rsidRPr="002D0E09" w:rsidRDefault="00A84DD6" w:rsidP="002D0E09">
      <w:pPr>
        <w:spacing w:line="480" w:lineRule="auto"/>
        <w:ind w:firstLine="720"/>
        <w:rPr>
          <w:rFonts w:ascii="Times New Roman" w:hAnsi="Times New Roman" w:cs="Times New Roman"/>
          <w:shd w:val="clear" w:color="auto" w:fill="FFFFFF"/>
        </w:rPr>
      </w:pPr>
      <w:r w:rsidRPr="002D0E09">
        <w:rPr>
          <w:rFonts w:ascii="Times New Roman" w:hAnsi="Times New Roman" w:cs="Times New Roman"/>
          <w:shd w:val="clear" w:color="auto" w:fill="FFFFFF"/>
        </w:rPr>
        <w:t xml:space="preserve">Yes, no, and yes. According to the opinion given out by Justice Kennedy Antony, the Court's main interest in the case was to ascertain whether Lawrence and Garner were adults with </w:t>
      </w:r>
      <w:r w:rsidRPr="002D0E09">
        <w:rPr>
          <w:rFonts w:ascii="Times New Roman" w:hAnsi="Times New Roman" w:cs="Times New Roman"/>
          <w:shd w:val="clear" w:color="auto" w:fill="FFFFFF"/>
        </w:rPr>
        <w:lastRenderedPageBreak/>
        <w:t>the right to engage in whatever consensual adult sexual activity of their wish (</w:t>
      </w:r>
      <w:r w:rsidRPr="002D0E09">
        <w:rPr>
          <w:rFonts w:ascii="Times New Roman" w:hAnsi="Times New Roman" w:cs="Times New Roman"/>
          <w:bCs/>
        </w:rPr>
        <w:t>Kanovitz, p.14)</w:t>
      </w:r>
      <w:r w:rsidRPr="002D0E09">
        <w:rPr>
          <w:rFonts w:ascii="Times New Roman" w:hAnsi="Times New Roman" w:cs="Times New Roman"/>
          <w:shd w:val="clear" w:color="auto" w:fill="FFFFFF"/>
        </w:rPr>
        <w:t>. The Court ruled out that conviction of the two was a violation of liberty and privacy rights of the accused. It is a violation of the Texas Homosexual legislature of the Fourteenth Amendment assurance of equal protection of laws to convict adult individuals who engage in consensual sexual intimacy act (</w:t>
      </w:r>
      <w:r w:rsidRPr="002D0E09">
        <w:rPr>
          <w:rFonts w:ascii="Times New Roman" w:hAnsi="Times New Roman" w:cs="Times New Roman"/>
          <w:bCs/>
        </w:rPr>
        <w:t>Kanovitz, p.20)</w:t>
      </w:r>
      <w:r w:rsidRPr="002D0E09">
        <w:rPr>
          <w:rFonts w:ascii="Times New Roman" w:hAnsi="Times New Roman" w:cs="Times New Roman"/>
          <w:shd w:val="clear" w:color="auto" w:fill="FFFFFF"/>
        </w:rPr>
        <w:t xml:space="preserve">. The Court overruled </w:t>
      </w:r>
      <w:hyperlink r:id="rId8" w:history="1">
        <w:r w:rsidRPr="002D0E09">
          <w:rPr>
            <w:rStyle w:val="Hyperlink"/>
            <w:rFonts w:ascii="Times New Roman" w:hAnsi="Times New Roman" w:cs="Times New Roman"/>
            <w:color w:val="auto"/>
            <w:u w:val="none"/>
          </w:rPr>
          <w:t>Bowers v. Hardwick, (1986)</w:t>
        </w:r>
      </w:hyperlink>
      <w:r w:rsidRPr="002D0E09">
        <w:rPr>
          <w:rFonts w:ascii="Times New Roman" w:hAnsi="Times New Roman" w:cs="Times New Roman"/>
        </w:rPr>
        <w:t xml:space="preserve"> control case. </w:t>
      </w:r>
    </w:p>
    <w:p w:rsidR="00A84DD6" w:rsidRPr="002D0E09" w:rsidRDefault="00A84DD6" w:rsidP="002D0E09">
      <w:pPr>
        <w:spacing w:line="480" w:lineRule="auto"/>
        <w:jc w:val="center"/>
        <w:rPr>
          <w:rFonts w:ascii="Times New Roman" w:hAnsi="Times New Roman" w:cs="Times New Roman"/>
          <w:b/>
          <w:shd w:val="clear" w:color="auto" w:fill="FFFFFF"/>
        </w:rPr>
      </w:pPr>
      <w:r w:rsidRPr="002D0E09">
        <w:rPr>
          <w:rFonts w:ascii="Times New Roman" w:hAnsi="Times New Roman" w:cs="Times New Roman"/>
          <w:b/>
          <w:shd w:val="clear" w:color="auto" w:fill="FFFFFF"/>
        </w:rPr>
        <w:t>In-depth discussion</w:t>
      </w:r>
    </w:p>
    <w:p w:rsidR="00A84DD6" w:rsidRPr="002D0E09" w:rsidRDefault="00A84DD6" w:rsidP="002D0E09">
      <w:pPr>
        <w:shd w:val="clear" w:color="auto" w:fill="FFFFFF"/>
        <w:spacing w:line="480" w:lineRule="auto"/>
        <w:ind w:firstLine="720"/>
        <w:jc w:val="both"/>
        <w:rPr>
          <w:rFonts w:ascii="Times New Roman" w:eastAsia="Times New Roman" w:hAnsi="Times New Roman" w:cs="Times New Roman"/>
        </w:rPr>
      </w:pPr>
      <w:r w:rsidRPr="002D0E09">
        <w:rPr>
          <w:rFonts w:ascii="Times New Roman" w:eastAsia="Times New Roman" w:hAnsi="Times New Roman" w:cs="Times New Roman"/>
        </w:rPr>
        <w:t xml:space="preserve">According to the Due Process Clause, the Constitution protects liberty, which grants homosexual persons the right to enter or choose a relationship in the confines of their houses. Again the Clause protects the private lives of citizens in addition to allowing them to handle their dignity as free persons </w:t>
      </w:r>
      <w:r w:rsidRPr="002D0E09">
        <w:rPr>
          <w:rFonts w:ascii="Times New Roman" w:hAnsi="Times New Roman" w:cs="Times New Roman"/>
          <w:shd w:val="clear" w:color="auto" w:fill="FFFFFF"/>
        </w:rPr>
        <w:t>(</w:t>
      </w:r>
      <w:r w:rsidRPr="002D0E09">
        <w:rPr>
          <w:rFonts w:ascii="Times New Roman" w:hAnsi="Times New Roman" w:cs="Times New Roman"/>
          <w:color w:val="222222"/>
          <w:shd w:val="clear" w:color="auto" w:fill="FFFFFF"/>
        </w:rPr>
        <w:t>Straderand Lindsey, p. 465)</w:t>
      </w:r>
      <w:r w:rsidRPr="002D0E09">
        <w:rPr>
          <w:rFonts w:ascii="Times New Roman" w:eastAsia="Times New Roman" w:hAnsi="Times New Roman" w:cs="Times New Roman"/>
        </w:rPr>
        <w:t xml:space="preserve">. No prostitution, minors, parties should not be injured and should involve people offering consent. Also, a state is not allowed to discriminate against any group of persons. </w:t>
      </w:r>
    </w:p>
    <w:p w:rsidR="00A84DD6" w:rsidRPr="002D0E09" w:rsidRDefault="00A84DD6" w:rsidP="002D0E09">
      <w:pPr>
        <w:shd w:val="clear" w:color="auto" w:fill="FFFFFF"/>
        <w:spacing w:line="480" w:lineRule="auto"/>
        <w:ind w:firstLine="720"/>
        <w:jc w:val="both"/>
        <w:rPr>
          <w:rFonts w:ascii="Times New Roman" w:eastAsia="Times New Roman" w:hAnsi="Times New Roman" w:cs="Times New Roman"/>
        </w:rPr>
      </w:pPr>
      <w:r w:rsidRPr="002D0E09">
        <w:rPr>
          <w:rFonts w:ascii="Times New Roman" w:eastAsia="Times New Roman" w:hAnsi="Times New Roman" w:cs="Times New Roman"/>
        </w:rPr>
        <w:t xml:space="preserve"> In </w:t>
      </w:r>
      <w:hyperlink r:id="rId9" w:history="1">
        <w:r w:rsidRPr="002D0E09">
          <w:rPr>
            <w:rStyle w:val="Hyperlink"/>
            <w:rFonts w:ascii="Times New Roman" w:hAnsi="Times New Roman" w:cs="Times New Roman"/>
            <w:color w:val="auto"/>
            <w:u w:val="none"/>
          </w:rPr>
          <w:t>Bowers v. Hardwick</w:t>
        </w:r>
      </w:hyperlink>
      <w:r w:rsidR="002D0E09" w:rsidRPr="002D0E09">
        <w:rPr>
          <w:rFonts w:ascii="Times New Roman" w:hAnsi="Times New Roman" w:cs="Times New Roman"/>
        </w:rPr>
        <w:t>,</w:t>
      </w:r>
      <w:r w:rsidR="002D0E09" w:rsidRPr="002D0E09">
        <w:rPr>
          <w:rFonts w:ascii="Times New Roman" w:eastAsia="Times New Roman" w:hAnsi="Times New Roman" w:cs="Times New Roman"/>
        </w:rPr>
        <w:t xml:space="preserve"> 478</w:t>
      </w:r>
      <w:r w:rsidRPr="002D0E09">
        <w:rPr>
          <w:rFonts w:ascii="Times New Roman" w:eastAsia="Times New Roman" w:hAnsi="Times New Roman" w:cs="Times New Roman"/>
        </w:rPr>
        <w:t xml:space="preserve"> U.S. 168 (1986), the Court upheld a statute in Georgia which criminalize private, consensual and sodomy amongst both hetero and homosexuals. Bower's Court mistakenly came up with the issue of whether homosexuals have a right to engage in sexual activity under the Constitution </w:t>
      </w:r>
      <w:r w:rsidRPr="002D0E09">
        <w:rPr>
          <w:rFonts w:ascii="Times New Roman" w:hAnsi="Times New Roman" w:cs="Times New Roman"/>
          <w:shd w:val="clear" w:color="auto" w:fill="FFFFFF"/>
        </w:rPr>
        <w:t>(</w:t>
      </w:r>
      <w:r w:rsidRPr="002D0E09">
        <w:rPr>
          <w:rFonts w:ascii="Times New Roman" w:hAnsi="Times New Roman" w:cs="Times New Roman"/>
          <w:color w:val="222222"/>
          <w:shd w:val="clear" w:color="auto" w:fill="FFFFFF"/>
        </w:rPr>
        <w:t>Bachhofer, p. 257)</w:t>
      </w:r>
      <w:r w:rsidRPr="002D0E09">
        <w:rPr>
          <w:rFonts w:ascii="Times New Roman" w:eastAsia="Times New Roman" w:hAnsi="Times New Roman" w:cs="Times New Roman"/>
        </w:rPr>
        <w:t>. This Court concluded that a ruling with a view that the right is not protected would necessarily have the same consequence during the determination of whether or not homosexual relationships, in general, are lawful</w:t>
      </w:r>
      <w:r w:rsidR="002D0E09">
        <w:rPr>
          <w:rFonts w:ascii="Times New Roman" w:eastAsia="Times New Roman" w:hAnsi="Times New Roman" w:cs="Times New Roman"/>
        </w:rPr>
        <w:t xml:space="preserve"> </w:t>
      </w:r>
      <w:r w:rsidRPr="002D0E09">
        <w:rPr>
          <w:rFonts w:ascii="Times New Roman" w:hAnsi="Times New Roman" w:cs="Times New Roman"/>
          <w:shd w:val="clear" w:color="auto" w:fill="FFFFFF"/>
        </w:rPr>
        <w:t>(</w:t>
      </w:r>
      <w:r w:rsidRPr="002D0E09">
        <w:rPr>
          <w:rFonts w:ascii="Times New Roman" w:hAnsi="Times New Roman" w:cs="Times New Roman"/>
          <w:bCs/>
        </w:rPr>
        <w:t>Kanovitz, p.15)</w:t>
      </w:r>
      <w:r w:rsidRPr="002D0E09">
        <w:rPr>
          <w:rFonts w:ascii="Times New Roman" w:eastAsia="Times New Roman" w:hAnsi="Times New Roman" w:cs="Times New Roman"/>
        </w:rPr>
        <w:t>. This determination would intrude on the fundamental right of homosexuals to participate in familial relationships as well as intimate and personal relationships.</w:t>
      </w:r>
    </w:p>
    <w:p w:rsidR="00A84DD6" w:rsidRPr="002D0E09" w:rsidRDefault="00A84DD6" w:rsidP="002D0E09">
      <w:pPr>
        <w:shd w:val="clear" w:color="auto" w:fill="FFFFFF"/>
        <w:spacing w:line="480" w:lineRule="auto"/>
        <w:ind w:firstLine="720"/>
        <w:jc w:val="both"/>
        <w:rPr>
          <w:rFonts w:ascii="Times New Roman" w:eastAsia="Times New Roman" w:hAnsi="Times New Roman" w:cs="Times New Roman"/>
        </w:rPr>
      </w:pPr>
      <w:r w:rsidRPr="002D0E09">
        <w:rPr>
          <w:rFonts w:ascii="Times New Roman" w:eastAsia="Times New Roman" w:hAnsi="Times New Roman" w:cs="Times New Roman"/>
        </w:rPr>
        <w:t xml:space="preserve">The above analysis should have guided Bowers, and have a control on similar cases today. Bowers was wrong when it was decided, and his case is even not correct today, hence </w:t>
      </w:r>
      <w:r w:rsidR="002D0E09" w:rsidRPr="002D0E09">
        <w:rPr>
          <w:rFonts w:ascii="Times New Roman" w:eastAsia="Times New Roman" w:hAnsi="Times New Roman" w:cs="Times New Roman"/>
        </w:rPr>
        <w:lastRenderedPageBreak/>
        <w:t>being overruled</w:t>
      </w:r>
      <w:r w:rsidR="002D0E09" w:rsidRPr="002D0E09">
        <w:rPr>
          <w:rFonts w:ascii="Times New Roman" w:hAnsi="Times New Roman" w:cs="Times New Roman"/>
          <w:shd w:val="clear" w:color="auto" w:fill="FFFFFF"/>
        </w:rPr>
        <w:t xml:space="preserve"> (</w:t>
      </w:r>
      <w:r w:rsidRPr="002D0E09">
        <w:rPr>
          <w:rFonts w:ascii="Times New Roman" w:hAnsi="Times New Roman" w:cs="Times New Roman"/>
          <w:color w:val="222222"/>
          <w:shd w:val="clear" w:color="auto" w:fill="FFFFFF"/>
        </w:rPr>
        <w:t>Straderand Lindsey, p. 465)</w:t>
      </w:r>
      <w:r w:rsidRPr="002D0E09">
        <w:rPr>
          <w:rFonts w:ascii="Times New Roman" w:eastAsia="Times New Roman" w:hAnsi="Times New Roman" w:cs="Times New Roman"/>
        </w:rPr>
        <w:t>. This case does not involve persons who might be injured or coerced, minors</w:t>
      </w:r>
      <w:r w:rsidR="002D0E09" w:rsidRPr="002D0E09">
        <w:rPr>
          <w:rFonts w:ascii="Times New Roman" w:eastAsia="Times New Roman" w:hAnsi="Times New Roman" w:cs="Times New Roman"/>
        </w:rPr>
        <w:t>, those</w:t>
      </w:r>
      <w:r w:rsidRPr="002D0E09">
        <w:rPr>
          <w:rFonts w:ascii="Times New Roman" w:eastAsia="Times New Roman" w:hAnsi="Times New Roman" w:cs="Times New Roman"/>
        </w:rPr>
        <w:t xml:space="preserve"> who might not easily refuse consent, or public conduct or prostitution. It entails two adults who, with full and mutual consent, engaged in sexual practices common to a homosexual lifestyle. Petitioners' right to liberty under the Due Process Clause accords them the full mandate to engage in private conduct without government intervention </w:t>
      </w:r>
      <w:r w:rsidRPr="002D0E09">
        <w:rPr>
          <w:rFonts w:ascii="Times New Roman" w:hAnsi="Times New Roman" w:cs="Times New Roman"/>
        </w:rPr>
        <w:t>(Fox News, p.1)</w:t>
      </w:r>
      <w:r w:rsidRPr="002D0E09">
        <w:rPr>
          <w:rFonts w:ascii="Times New Roman" w:eastAsia="Times New Roman" w:hAnsi="Times New Roman" w:cs="Times New Roman"/>
        </w:rPr>
        <w:t>. The Texas statute dictates that there is no legitimate state interest which can justify its intrusion into the individual's personal and private life</w:t>
      </w:r>
      <w:r w:rsidR="002D0E09">
        <w:rPr>
          <w:rFonts w:ascii="Times New Roman" w:eastAsia="Times New Roman" w:hAnsi="Times New Roman" w:cs="Times New Roman"/>
        </w:rPr>
        <w:t xml:space="preserve"> </w:t>
      </w:r>
      <w:r w:rsidR="002D0E09" w:rsidRPr="002D0E09">
        <w:rPr>
          <w:rFonts w:ascii="Times New Roman" w:hAnsi="Times New Roman" w:cs="Times New Roman"/>
          <w:shd w:val="clear" w:color="auto" w:fill="FFFFFF"/>
        </w:rPr>
        <w:t>(</w:t>
      </w:r>
      <w:r w:rsidR="002D0E09" w:rsidRPr="002D0E09">
        <w:rPr>
          <w:rFonts w:ascii="Times New Roman" w:hAnsi="Times New Roman" w:cs="Times New Roman"/>
          <w:bCs/>
        </w:rPr>
        <w:t>Kanovitz, p.7)</w:t>
      </w:r>
      <w:r w:rsidRPr="002D0E09">
        <w:rPr>
          <w:rFonts w:ascii="Times New Roman" w:eastAsia="Times New Roman" w:hAnsi="Times New Roman" w:cs="Times New Roman"/>
        </w:rPr>
        <w:t>.</w:t>
      </w:r>
    </w:p>
    <w:p w:rsidR="00A84DD6" w:rsidRPr="002D0E09" w:rsidRDefault="00A84DD6" w:rsidP="002D0E09">
      <w:pPr>
        <w:spacing w:line="480" w:lineRule="auto"/>
        <w:ind w:firstLine="720"/>
        <w:rPr>
          <w:rFonts w:ascii="Times New Roman" w:hAnsi="Times New Roman" w:cs="Times New Roman"/>
          <w:shd w:val="clear" w:color="auto" w:fill="FFFFFF"/>
        </w:rPr>
      </w:pPr>
      <w:r w:rsidRPr="002D0E09">
        <w:rPr>
          <w:rFonts w:ascii="Times New Roman" w:hAnsi="Times New Roman" w:cs="Times New Roman"/>
          <w:shd w:val="clear" w:color="auto" w:fill="FFFFFF"/>
        </w:rPr>
        <w:t xml:space="preserve">Lawrence vs. Texa's case attracted several controversies from both lawyers and the public.  </w:t>
      </w:r>
      <w:r w:rsidRPr="002D0E09">
        <w:rPr>
          <w:rFonts w:ascii="Times New Roman" w:eastAsia="Times New Roman" w:hAnsi="Times New Roman" w:cs="Times New Roman"/>
        </w:rPr>
        <w:t xml:space="preserve">Some were with ideas that </w:t>
      </w:r>
      <w:r w:rsidR="00A6781D" w:rsidRPr="002D0E09">
        <w:rPr>
          <w:rFonts w:ascii="Times New Roman" w:eastAsia="Times New Roman" w:hAnsi="Times New Roman" w:cs="Times New Roman"/>
        </w:rPr>
        <w:t>invalidation of</w:t>
      </w:r>
      <w:r w:rsidRPr="002D0E09">
        <w:rPr>
          <w:rFonts w:ascii="Times New Roman" w:eastAsia="Times New Roman" w:hAnsi="Times New Roman" w:cs="Times New Roman"/>
        </w:rPr>
        <w:t xml:space="preserve"> the Texas statute by the Court and Bowers case was inappropriate. The law only prohibits homosexual conduct and could not be held unconstitutional as a violation of Equal </w:t>
      </w:r>
      <w:r w:rsidR="002D0E09" w:rsidRPr="002D0E09">
        <w:rPr>
          <w:rFonts w:ascii="Times New Roman" w:eastAsia="Times New Roman" w:hAnsi="Times New Roman" w:cs="Times New Roman"/>
        </w:rPr>
        <w:t>Protection</w:t>
      </w:r>
      <w:r w:rsidR="002D0E09" w:rsidRPr="002D0E09">
        <w:rPr>
          <w:rFonts w:ascii="Times New Roman" w:hAnsi="Times New Roman" w:cs="Times New Roman"/>
          <w:shd w:val="clear" w:color="auto" w:fill="FFFFFF"/>
        </w:rPr>
        <w:t xml:space="preserve"> (</w:t>
      </w:r>
      <w:r w:rsidRPr="002D0E09">
        <w:rPr>
          <w:rFonts w:ascii="Times New Roman" w:hAnsi="Times New Roman" w:cs="Times New Roman"/>
          <w:color w:val="222222"/>
          <w:shd w:val="clear" w:color="auto" w:fill="FFFFFF"/>
        </w:rPr>
        <w:t>Bachhofer, p. 257)</w:t>
      </w:r>
      <w:r w:rsidRPr="002D0E09">
        <w:rPr>
          <w:rFonts w:ascii="Times New Roman" w:eastAsia="Times New Roman" w:hAnsi="Times New Roman" w:cs="Times New Roman"/>
        </w:rPr>
        <w:t>.  There was also a narrative s</w:t>
      </w:r>
      <w:r w:rsidR="002D0E09">
        <w:rPr>
          <w:rFonts w:ascii="Times New Roman" w:eastAsia="Times New Roman" w:hAnsi="Times New Roman" w:cs="Times New Roman"/>
        </w:rPr>
        <w:t>uggesting that the primary goal</w:t>
      </w:r>
      <w:r w:rsidRPr="002D0E09">
        <w:rPr>
          <w:rFonts w:ascii="Times New Roman" w:eastAsia="Times New Roman" w:hAnsi="Times New Roman" w:cs="Times New Roman"/>
        </w:rPr>
        <w:t xml:space="preserve"> of Texas State is a “desire to harm a politically unpopular and inactive population. As such” Bowers decision should be upheld as much as the principals of </w:t>
      </w:r>
      <w:hyperlink r:id="rId10" w:history="1">
        <w:r w:rsidRPr="002D0E09">
          <w:rPr>
            <w:rStyle w:val="Hyperlink"/>
            <w:rFonts w:ascii="Times New Roman" w:hAnsi="Times New Roman" w:cs="Times New Roman"/>
            <w:color w:val="auto"/>
            <w:u w:val="none"/>
          </w:rPr>
          <w:t>stare decisis</w:t>
        </w:r>
      </w:hyperlink>
      <w:r w:rsidRPr="002D0E09">
        <w:rPr>
          <w:rStyle w:val="Hyperlink"/>
          <w:rFonts w:ascii="Times New Roman" w:hAnsi="Times New Roman" w:cs="Times New Roman"/>
          <w:color w:val="auto"/>
          <w:u w:val="none"/>
        </w:rPr>
        <w:t xml:space="preserve"> are concerned since Lawrence seem to have political connections</w:t>
      </w:r>
      <w:r w:rsidRPr="002D0E09">
        <w:rPr>
          <w:rFonts w:ascii="Times New Roman" w:eastAsia="Times New Roman" w:hAnsi="Times New Roman" w:cs="Times New Roman"/>
        </w:rPr>
        <w:t xml:space="preserve">. Besides, others saw it impossible for the Court to take </w:t>
      </w:r>
      <w:r w:rsidR="00A6781D" w:rsidRPr="002D0E09">
        <w:rPr>
          <w:rFonts w:ascii="Times New Roman" w:eastAsia="Times New Roman" w:hAnsi="Times New Roman" w:cs="Times New Roman"/>
        </w:rPr>
        <w:t>into</w:t>
      </w:r>
      <w:r w:rsidR="00A6781D">
        <w:t xml:space="preserve"> consideration</w:t>
      </w:r>
      <w:r w:rsidRPr="002D0E09">
        <w:rPr>
          <w:rFonts w:ascii="Times New Roman" w:eastAsia="Times New Roman" w:hAnsi="Times New Roman" w:cs="Times New Roman"/>
        </w:rPr>
        <w:t xml:space="preserve"> foreign laws or public opinion while making such a ruling </w:t>
      </w:r>
      <w:r w:rsidRPr="002D0E09">
        <w:rPr>
          <w:rFonts w:ascii="Times New Roman" w:hAnsi="Times New Roman" w:cs="Times New Roman"/>
        </w:rPr>
        <w:t>(Fox News, p.3)</w:t>
      </w:r>
      <w:r w:rsidRPr="002D0E09">
        <w:rPr>
          <w:rFonts w:ascii="Times New Roman" w:eastAsia="Times New Roman" w:hAnsi="Times New Roman" w:cs="Times New Roman"/>
        </w:rPr>
        <w:t xml:space="preserve">.Although the state statute stands to be </w:t>
      </w:r>
      <w:r w:rsidR="00A6781D" w:rsidRPr="002D0E09">
        <w:rPr>
          <w:rFonts w:ascii="Times New Roman" w:eastAsia="Times New Roman" w:hAnsi="Times New Roman" w:cs="Times New Roman"/>
        </w:rPr>
        <w:t>repealed and</w:t>
      </w:r>
      <w:r w:rsidRPr="002D0E09">
        <w:rPr>
          <w:rFonts w:ascii="Times New Roman" w:eastAsia="Times New Roman" w:hAnsi="Times New Roman" w:cs="Times New Roman"/>
        </w:rPr>
        <w:t xml:space="preserve"> not all case brings such controversies," there is no provision in the </w:t>
      </w:r>
      <w:hyperlink r:id="rId11" w:history="1">
        <w:r w:rsidRPr="002D0E09">
          <w:rPr>
            <w:rStyle w:val="Hyperlink"/>
            <w:rFonts w:ascii="Times New Roman" w:hAnsi="Times New Roman" w:cs="Times New Roman"/>
            <w:color w:val="auto"/>
            <w:u w:val="none"/>
          </w:rPr>
          <w:t>Bill of Rights</w:t>
        </w:r>
      </w:hyperlink>
      <w:r w:rsidRPr="002D0E09">
        <w:rPr>
          <w:rStyle w:val="Hyperlink"/>
          <w:rFonts w:ascii="Times New Roman" w:hAnsi="Times New Roman" w:cs="Times New Roman"/>
          <w:color w:val="auto"/>
          <w:u w:val="none"/>
        </w:rPr>
        <w:t xml:space="preserve"> or </w:t>
      </w:r>
      <w:r w:rsidR="00A6781D" w:rsidRPr="002D0E09">
        <w:rPr>
          <w:rFonts w:ascii="Times New Roman" w:eastAsia="Times New Roman" w:hAnsi="Times New Roman" w:cs="Times New Roman"/>
        </w:rPr>
        <w:t>Constitution that</w:t>
      </w:r>
      <w:r w:rsidRPr="002D0E09">
        <w:rPr>
          <w:rFonts w:ascii="Times New Roman" w:eastAsia="Times New Roman" w:hAnsi="Times New Roman" w:cs="Times New Roman"/>
        </w:rPr>
        <w:t xml:space="preserve"> bars the State from enacting the law under discussion.</w:t>
      </w:r>
    </w:p>
    <w:p w:rsidR="00A84DD6" w:rsidRPr="002D0E09" w:rsidRDefault="00A84DD6" w:rsidP="002D0E09">
      <w:pPr>
        <w:shd w:val="clear" w:color="auto" w:fill="FFFFFF"/>
        <w:spacing w:after="100" w:afterAutospacing="1" w:line="480" w:lineRule="auto"/>
        <w:ind w:firstLine="720"/>
        <w:jc w:val="both"/>
        <w:rPr>
          <w:rFonts w:ascii="Times New Roman" w:eastAsia="Times New Roman" w:hAnsi="Times New Roman" w:cs="Times New Roman"/>
        </w:rPr>
      </w:pPr>
      <w:r w:rsidRPr="002D0E09">
        <w:rPr>
          <w:rFonts w:ascii="Times New Roman" w:eastAsia="Times New Roman" w:hAnsi="Times New Roman" w:cs="Times New Roman"/>
        </w:rPr>
        <w:t xml:space="preserve">The Supreme Court ruled out that the Homosexual Conduct Law was enacted beyond the provisions of Constitution and as such, the conviction of Lawrence and Garner was reversed. </w:t>
      </w:r>
      <w:r w:rsidRPr="002D0E09">
        <w:rPr>
          <w:rFonts w:ascii="Times New Roman" w:hAnsi="Times New Roman" w:cs="Times New Roman"/>
        </w:rPr>
        <w:t xml:space="preserve">The Supreme Court wrapped up that Texas' "homosexual conduct" law violated the Due Process Clause of the Fourteenth Amendment. It acted beyond its previous decision in Bowers v. Hardwick, which upheld anti-sodomy </w:t>
      </w:r>
      <w:r w:rsidR="002D0E09" w:rsidRPr="002D0E09">
        <w:rPr>
          <w:rFonts w:ascii="Times New Roman" w:hAnsi="Times New Roman" w:cs="Times New Roman"/>
        </w:rPr>
        <w:t>laws</w:t>
      </w:r>
      <w:r w:rsidR="002D0E09" w:rsidRPr="002D0E09">
        <w:rPr>
          <w:rFonts w:ascii="Times New Roman" w:hAnsi="Times New Roman" w:cs="Times New Roman"/>
          <w:shd w:val="clear" w:color="auto" w:fill="FFFFFF"/>
        </w:rPr>
        <w:t xml:space="preserve"> (</w:t>
      </w:r>
      <w:r w:rsidRPr="002D0E09">
        <w:rPr>
          <w:rFonts w:ascii="Times New Roman" w:hAnsi="Times New Roman" w:cs="Times New Roman"/>
          <w:color w:val="222222"/>
          <w:shd w:val="clear" w:color="auto" w:fill="FFFFFF"/>
        </w:rPr>
        <w:t>Bachhofer, p. 257)</w:t>
      </w:r>
      <w:r w:rsidRPr="002D0E09">
        <w:rPr>
          <w:rFonts w:ascii="Times New Roman" w:hAnsi="Times New Roman" w:cs="Times New Roman"/>
        </w:rPr>
        <w:t>.</w:t>
      </w:r>
      <w:r w:rsidRPr="002D0E09">
        <w:rPr>
          <w:rFonts w:ascii="Times New Roman" w:eastAsia="Times New Roman" w:hAnsi="Times New Roman" w:cs="Times New Roman"/>
        </w:rPr>
        <w:t xml:space="preserve"> Among the six judges, five of </w:t>
      </w:r>
      <w:r w:rsidRPr="002D0E09">
        <w:rPr>
          <w:rFonts w:ascii="Times New Roman" w:eastAsia="Times New Roman" w:hAnsi="Times New Roman" w:cs="Times New Roman"/>
        </w:rPr>
        <w:lastRenderedPageBreak/>
        <w:t>them</w:t>
      </w:r>
      <w:r w:rsidRPr="002D0E09">
        <w:rPr>
          <w:rFonts w:ascii="Times New Roman" w:hAnsi="Times New Roman" w:cs="Times New Roman"/>
        </w:rPr>
        <w:t xml:space="preserve"> held that it violated due process guarantees, and one, Sandra Day O'Connor, concluded that it violated equal protection guarantees(Fox News, p.1).</w:t>
      </w:r>
      <w:r w:rsidRPr="002D0E09">
        <w:rPr>
          <w:rFonts w:ascii="Times New Roman" w:eastAsia="Times New Roman" w:hAnsi="Times New Roman" w:cs="Times New Roman"/>
        </w:rPr>
        <w:t xml:space="preserve">The State cannot control a homosexual person's destiny by making their private sexual conduct a crime degrade their person's existence </w:t>
      </w:r>
      <w:r w:rsidRPr="002D0E09">
        <w:rPr>
          <w:rFonts w:ascii="Times New Roman" w:hAnsi="Times New Roman" w:cs="Times New Roman"/>
          <w:shd w:val="clear" w:color="auto" w:fill="FFFFFF"/>
        </w:rPr>
        <w:t>(</w:t>
      </w:r>
      <w:r w:rsidRPr="002D0E09">
        <w:rPr>
          <w:rFonts w:ascii="Times New Roman" w:hAnsi="Times New Roman" w:cs="Times New Roman"/>
          <w:color w:val="222222"/>
          <w:shd w:val="clear" w:color="auto" w:fill="FFFFFF"/>
        </w:rPr>
        <w:t>Straderand Lindsey, p. 465)</w:t>
      </w:r>
      <w:r w:rsidRPr="002D0E09">
        <w:rPr>
          <w:rFonts w:ascii="Times New Roman" w:eastAsia="Times New Roman" w:hAnsi="Times New Roman" w:cs="Times New Roman"/>
        </w:rPr>
        <w:t>.  They have a full mandate to engage in their conduct without intervention of the government based on provisions of liberty under the Due Process Clause. The Constitution provides a promise that there is a realm of personal freedom that the government may not intervene.</w:t>
      </w:r>
    </w:p>
    <w:p w:rsidR="00A84DD6" w:rsidRPr="002D0E09" w:rsidRDefault="00A84DD6" w:rsidP="002D0E09">
      <w:pPr>
        <w:shd w:val="clear" w:color="auto" w:fill="FFFFFF"/>
        <w:spacing w:after="100" w:afterAutospacing="1" w:line="480" w:lineRule="auto"/>
        <w:ind w:firstLine="720"/>
        <w:jc w:val="both"/>
        <w:rPr>
          <w:rFonts w:ascii="Times New Roman" w:hAnsi="Times New Roman" w:cs="Times New Roman"/>
          <w:shd w:val="clear" w:color="auto" w:fill="FFFFFF"/>
        </w:rPr>
      </w:pPr>
      <w:r w:rsidRPr="002D0E09">
        <w:rPr>
          <w:rFonts w:ascii="Times New Roman" w:hAnsi="Times New Roman" w:cs="Times New Roman"/>
          <w:shd w:val="clear" w:color="auto" w:fill="FFFFFF"/>
        </w:rPr>
        <w:t>Lawrence vs. Texa's case received mixed reactions from various personalities, including politically active individuals. Ari Fleischer, who was press secretary for President Bush, did not comment on the decision, noting that the administration failed to file a brief on the case (</w:t>
      </w:r>
      <w:r w:rsidRPr="002D0E09">
        <w:rPr>
          <w:rFonts w:ascii="Times New Roman" w:hAnsi="Times New Roman" w:cs="Times New Roman"/>
          <w:color w:val="222222"/>
          <w:shd w:val="clear" w:color="auto" w:fill="FFFFFF"/>
        </w:rPr>
        <w:t>Straderand Lindsey, p. 465)</w:t>
      </w:r>
      <w:r w:rsidRPr="002D0E09">
        <w:rPr>
          <w:rFonts w:ascii="Times New Roman" w:hAnsi="Times New Roman" w:cs="Times New Roman"/>
          <w:shd w:val="clear" w:color="auto" w:fill="FFFFFF"/>
        </w:rPr>
        <w:t>. The Bush himself was ultimately against the reverse of Texas Sodomy provision viewing it as a form of symbolic gesture towards traditional values (</w:t>
      </w:r>
      <w:r w:rsidRPr="002D0E09">
        <w:rPr>
          <w:rFonts w:ascii="Times New Roman" w:hAnsi="Times New Roman" w:cs="Times New Roman"/>
          <w:color w:val="222222"/>
          <w:shd w:val="clear" w:color="auto" w:fill="FFFFFF"/>
        </w:rPr>
        <w:t>Straderand Lindsey, p. 465)</w:t>
      </w:r>
      <w:r w:rsidRPr="002D0E09">
        <w:rPr>
          <w:rFonts w:ascii="Times New Roman" w:hAnsi="Times New Roman" w:cs="Times New Roman"/>
          <w:shd w:val="clear" w:color="auto" w:fill="FFFFFF"/>
        </w:rPr>
        <w:t>. On her part, Linda Greenhouse, who is a writer of The New York Times, suggests that the sodomy issue was a significant concern in all American States, and it was an excellent move for it to be decriminalized.</w:t>
      </w:r>
    </w:p>
    <w:p w:rsidR="00A84DD6" w:rsidRPr="002D0E09" w:rsidRDefault="00A84DD6" w:rsidP="002D0E09">
      <w:pPr>
        <w:shd w:val="clear" w:color="auto" w:fill="FFFFFF"/>
        <w:spacing w:after="100" w:afterAutospacing="1" w:line="480" w:lineRule="auto"/>
        <w:ind w:firstLine="720"/>
        <w:jc w:val="center"/>
        <w:rPr>
          <w:rFonts w:ascii="Times New Roman" w:eastAsia="Times New Roman" w:hAnsi="Times New Roman" w:cs="Times New Roman"/>
          <w:b/>
        </w:rPr>
      </w:pPr>
      <w:r w:rsidRPr="002D0E09">
        <w:rPr>
          <w:rFonts w:ascii="Times New Roman" w:hAnsi="Times New Roman" w:cs="Times New Roman"/>
          <w:b/>
          <w:shd w:val="clear" w:color="auto" w:fill="FFFFFF"/>
        </w:rPr>
        <w:t>Conclusion</w:t>
      </w:r>
    </w:p>
    <w:p w:rsidR="00A84DD6" w:rsidRPr="002D0E09" w:rsidRDefault="00A84DD6" w:rsidP="002D0E09">
      <w:pPr>
        <w:shd w:val="clear" w:color="auto" w:fill="FFFFFF"/>
        <w:spacing w:after="100" w:afterAutospacing="1" w:line="480" w:lineRule="auto"/>
        <w:ind w:firstLine="720"/>
        <w:jc w:val="both"/>
        <w:rPr>
          <w:rFonts w:ascii="Times New Roman" w:eastAsia="Times New Roman" w:hAnsi="Times New Roman" w:cs="Times New Roman"/>
          <w:bCs/>
        </w:rPr>
      </w:pPr>
      <w:r w:rsidRPr="002D0E09">
        <w:rPr>
          <w:rFonts w:ascii="Times New Roman" w:eastAsia="Times New Roman" w:hAnsi="Times New Roman" w:cs="Times New Roman"/>
          <w:bCs/>
        </w:rPr>
        <w:t xml:space="preserve">Based on the above discussion, it is evident that the Court's ruling towards the conviction of </w:t>
      </w:r>
      <w:r w:rsidRPr="002D0E09">
        <w:rPr>
          <w:rFonts w:ascii="Times New Roman" w:hAnsi="Times New Roman" w:cs="Times New Roman"/>
          <w:shd w:val="clear" w:color="auto" w:fill="FFFFFF"/>
        </w:rPr>
        <w:t>Lawrence and Garner was a violation of liberty and privacy rights of the accused.</w:t>
      </w:r>
      <w:r w:rsidRPr="002D0E09">
        <w:rPr>
          <w:rFonts w:ascii="Times New Roman" w:eastAsia="Times New Roman" w:hAnsi="Times New Roman" w:cs="Times New Roman"/>
          <w:bCs/>
        </w:rPr>
        <w:t xml:space="preserve"> Again it was </w:t>
      </w:r>
      <w:r w:rsidRPr="002D0E09">
        <w:rPr>
          <w:rFonts w:ascii="Times New Roman" w:hAnsi="Times New Roman" w:cs="Times New Roman"/>
          <w:shd w:val="clear" w:color="auto" w:fill="FFFFFF"/>
        </w:rPr>
        <w:t>a violation of the Texas Homosexual legislature of the Fourteenth Amendment by assuring equal protection of laws to convict adult individuals who engage in consensual sexual intimacy act (</w:t>
      </w:r>
      <w:r w:rsidRPr="002D0E09">
        <w:rPr>
          <w:rFonts w:ascii="Times New Roman" w:hAnsi="Times New Roman" w:cs="Times New Roman"/>
          <w:color w:val="222222"/>
          <w:shd w:val="clear" w:color="auto" w:fill="FFFFFF"/>
        </w:rPr>
        <w:t>Bachhofer, p. 257)</w:t>
      </w:r>
      <w:r w:rsidRPr="002D0E09">
        <w:rPr>
          <w:rFonts w:ascii="Times New Roman" w:hAnsi="Times New Roman" w:cs="Times New Roman"/>
          <w:shd w:val="clear" w:color="auto" w:fill="FFFFFF"/>
        </w:rPr>
        <w:t xml:space="preserve">. It was much necessary to overrule </w:t>
      </w:r>
      <w:hyperlink r:id="rId12" w:history="1">
        <w:r w:rsidRPr="002D0E09">
          <w:rPr>
            <w:rStyle w:val="Hyperlink"/>
            <w:rFonts w:ascii="Times New Roman" w:hAnsi="Times New Roman" w:cs="Times New Roman"/>
            <w:color w:val="auto"/>
            <w:u w:val="none"/>
          </w:rPr>
          <w:t>Bowers v. Hardwick, (1986)</w:t>
        </w:r>
      </w:hyperlink>
      <w:r w:rsidRPr="002D0E09">
        <w:rPr>
          <w:rFonts w:ascii="Times New Roman" w:hAnsi="Times New Roman" w:cs="Times New Roman"/>
        </w:rPr>
        <w:t xml:space="preserve"> reference case since it did not take into consideration the paramount right of individuals to engage in any </w:t>
      </w:r>
      <w:r w:rsidRPr="002D0E09">
        <w:rPr>
          <w:rFonts w:ascii="Times New Roman" w:hAnsi="Times New Roman" w:cs="Times New Roman"/>
        </w:rPr>
        <w:lastRenderedPageBreak/>
        <w:t xml:space="preserve">adult consensual sexual activity (Fox News, p.2). Overall, Lawrence's case can be described as a mark of transition to an error where the government respects the rights of adult individuals towards consensual sex.    </w:t>
      </w: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both"/>
        <w:rPr>
          <w:rFonts w:ascii="Times New Roman" w:eastAsia="Times New Roman" w:hAnsi="Times New Roman" w:cs="Times New Roman"/>
        </w:rPr>
      </w:pPr>
    </w:p>
    <w:p w:rsidR="00A84DD6" w:rsidRPr="002D0E09" w:rsidRDefault="00A84DD6" w:rsidP="002D0E09">
      <w:pPr>
        <w:shd w:val="clear" w:color="auto" w:fill="FFFFFF"/>
        <w:spacing w:after="100" w:afterAutospacing="1" w:line="480" w:lineRule="auto"/>
        <w:jc w:val="center"/>
        <w:rPr>
          <w:rFonts w:ascii="Times New Roman" w:eastAsia="Times New Roman" w:hAnsi="Times New Roman" w:cs="Times New Roman"/>
        </w:rPr>
      </w:pPr>
      <w:r w:rsidRPr="002D0E09">
        <w:rPr>
          <w:rFonts w:ascii="Times New Roman" w:eastAsia="Times New Roman" w:hAnsi="Times New Roman" w:cs="Times New Roman"/>
        </w:rPr>
        <w:lastRenderedPageBreak/>
        <w:t>Work Cited</w:t>
      </w:r>
    </w:p>
    <w:p w:rsidR="00A84DD6" w:rsidRPr="002D0E09" w:rsidRDefault="00A84DD6" w:rsidP="002D0E09">
      <w:pPr>
        <w:pStyle w:val="Heading1"/>
        <w:shd w:val="clear" w:color="auto" w:fill="FFFFFF"/>
        <w:spacing w:before="0" w:beforeAutospacing="0" w:after="360" w:afterAutospacing="0" w:line="480" w:lineRule="auto"/>
        <w:textAlignment w:val="baseline"/>
        <w:rPr>
          <w:b w:val="0"/>
          <w:i/>
          <w:iCs/>
          <w:color w:val="222222"/>
          <w:sz w:val="24"/>
          <w:szCs w:val="24"/>
          <w:shd w:val="clear" w:color="auto" w:fill="FFFFFF"/>
        </w:rPr>
      </w:pPr>
      <w:r w:rsidRPr="002D0E09">
        <w:rPr>
          <w:b w:val="0"/>
          <w:color w:val="222222"/>
          <w:sz w:val="24"/>
          <w:szCs w:val="24"/>
          <w:shd w:val="clear" w:color="auto" w:fill="FFFFFF"/>
        </w:rPr>
        <w:t>Bachhofer, Aaron. "Lawrence v. Texas." </w:t>
      </w:r>
      <w:r w:rsidRPr="002D0E09">
        <w:rPr>
          <w:b w:val="0"/>
          <w:i/>
          <w:iCs/>
          <w:color w:val="222222"/>
          <w:sz w:val="24"/>
          <w:szCs w:val="24"/>
          <w:shd w:val="clear" w:color="auto" w:fill="FFFFFF"/>
        </w:rPr>
        <w:t xml:space="preserve">LGBTQ Americans in the U.S. Political System: An </w:t>
      </w:r>
    </w:p>
    <w:p w:rsidR="00A84DD6" w:rsidRPr="002D0E09" w:rsidRDefault="00A84DD6" w:rsidP="002D0E09">
      <w:pPr>
        <w:pStyle w:val="Heading1"/>
        <w:shd w:val="clear" w:color="auto" w:fill="FFFFFF"/>
        <w:spacing w:before="0" w:beforeAutospacing="0" w:after="360" w:afterAutospacing="0" w:line="480" w:lineRule="auto"/>
        <w:ind w:left="720"/>
        <w:textAlignment w:val="baseline"/>
        <w:rPr>
          <w:b w:val="0"/>
          <w:color w:val="222222"/>
          <w:sz w:val="24"/>
          <w:szCs w:val="24"/>
          <w:shd w:val="clear" w:color="auto" w:fill="FFFFFF"/>
        </w:rPr>
      </w:pPr>
      <w:r w:rsidRPr="002D0E09">
        <w:rPr>
          <w:b w:val="0"/>
          <w:i/>
          <w:iCs/>
          <w:color w:val="222222"/>
          <w:sz w:val="24"/>
          <w:szCs w:val="24"/>
          <w:shd w:val="clear" w:color="auto" w:fill="FFFFFF"/>
        </w:rPr>
        <w:t>Encyclopedia of Activists, Voters, Candidates, and Officeholders [2 volumes]</w:t>
      </w:r>
      <w:r w:rsidRPr="002D0E09">
        <w:rPr>
          <w:b w:val="0"/>
          <w:color w:val="222222"/>
          <w:sz w:val="24"/>
          <w:szCs w:val="24"/>
          <w:shd w:val="clear" w:color="auto" w:fill="FFFFFF"/>
        </w:rPr>
        <w:t> (2019): 257.</w:t>
      </w:r>
    </w:p>
    <w:p w:rsidR="00A84DD6" w:rsidRPr="002D0E09" w:rsidRDefault="00A84DD6" w:rsidP="002D0E09">
      <w:pPr>
        <w:pStyle w:val="Heading1"/>
        <w:shd w:val="clear" w:color="auto" w:fill="FFFFFF"/>
        <w:spacing w:before="0" w:beforeAutospacing="0" w:after="360" w:afterAutospacing="0" w:line="480" w:lineRule="auto"/>
        <w:textAlignment w:val="baseline"/>
        <w:rPr>
          <w:b w:val="0"/>
          <w:color w:val="222222"/>
          <w:sz w:val="24"/>
          <w:szCs w:val="24"/>
          <w:shd w:val="clear" w:color="auto" w:fill="FFFFFF"/>
        </w:rPr>
      </w:pPr>
      <w:r w:rsidRPr="002D0E09">
        <w:rPr>
          <w:b w:val="0"/>
          <w:color w:val="222222"/>
          <w:sz w:val="24"/>
          <w:szCs w:val="24"/>
          <w:shd w:val="clear" w:color="auto" w:fill="FFFFFF"/>
        </w:rPr>
        <w:t>Fox News. “Supreme Courts Overturns</w:t>
      </w:r>
      <w:bookmarkStart w:id="0" w:name="_GoBack"/>
      <w:bookmarkEnd w:id="0"/>
      <w:r w:rsidRPr="002D0E09">
        <w:rPr>
          <w:b w:val="0"/>
          <w:color w:val="222222"/>
          <w:sz w:val="24"/>
          <w:szCs w:val="24"/>
          <w:shd w:val="clear" w:color="auto" w:fill="FFFFFF"/>
        </w:rPr>
        <w:t xml:space="preserve"> Texas Gay Sex Ban”, (2003). Retrieved from </w:t>
      </w:r>
    </w:p>
    <w:p w:rsidR="00A84DD6" w:rsidRPr="002D0E09" w:rsidRDefault="00007599" w:rsidP="002D0E09">
      <w:pPr>
        <w:pStyle w:val="Heading1"/>
        <w:shd w:val="clear" w:color="auto" w:fill="FFFFFF"/>
        <w:spacing w:before="0" w:beforeAutospacing="0" w:after="360" w:afterAutospacing="0" w:line="480" w:lineRule="auto"/>
        <w:ind w:firstLine="720"/>
        <w:textAlignment w:val="baseline"/>
        <w:rPr>
          <w:b w:val="0"/>
          <w:color w:val="222222"/>
          <w:spacing w:val="-18"/>
          <w:sz w:val="24"/>
          <w:szCs w:val="24"/>
        </w:rPr>
      </w:pPr>
      <w:hyperlink r:id="rId13" w:history="1">
        <w:r w:rsidR="00A84DD6" w:rsidRPr="002D0E09">
          <w:rPr>
            <w:rStyle w:val="Hyperlink"/>
            <w:b w:val="0"/>
            <w:sz w:val="24"/>
            <w:szCs w:val="24"/>
            <w:shd w:val="clear" w:color="auto" w:fill="FFFFFF"/>
          </w:rPr>
          <w:t>https://www.foxnews.com/story/supreme-court-overturns-texas-gay-sex-ban</w:t>
        </w:r>
      </w:hyperlink>
    </w:p>
    <w:p w:rsidR="00A84DD6" w:rsidRPr="002D0E09" w:rsidRDefault="00A84DD6" w:rsidP="00A6781D">
      <w:pPr>
        <w:spacing w:line="480" w:lineRule="auto"/>
        <w:ind w:left="720" w:hanging="720"/>
        <w:jc w:val="both"/>
        <w:rPr>
          <w:rFonts w:ascii="Times New Roman" w:hAnsi="Times New Roman" w:cs="Times New Roman"/>
          <w:bCs/>
        </w:rPr>
      </w:pPr>
      <w:r w:rsidRPr="002D0E09">
        <w:rPr>
          <w:rFonts w:ascii="Times New Roman" w:hAnsi="Times New Roman" w:cs="Times New Roman"/>
          <w:bCs/>
        </w:rPr>
        <w:t>Kanovitz, Jacqueline R., Constitutional Law for Criminal Justice, Chapter 2, pp. 3-42</w:t>
      </w:r>
    </w:p>
    <w:p w:rsidR="00A84DD6" w:rsidRPr="002D0E09" w:rsidRDefault="00A84DD6" w:rsidP="00A6781D">
      <w:pPr>
        <w:shd w:val="clear" w:color="auto" w:fill="FFFFFF"/>
        <w:spacing w:after="100" w:afterAutospacing="1" w:line="480" w:lineRule="auto"/>
        <w:ind w:left="720" w:hanging="720"/>
        <w:jc w:val="both"/>
        <w:rPr>
          <w:rFonts w:ascii="Times New Roman" w:eastAsia="Times New Roman" w:hAnsi="Times New Roman" w:cs="Times New Roman"/>
        </w:rPr>
      </w:pPr>
      <w:r w:rsidRPr="002D0E09">
        <w:rPr>
          <w:rFonts w:ascii="Times New Roman" w:hAnsi="Times New Roman" w:cs="Times New Roman"/>
          <w:color w:val="222222"/>
          <w:shd w:val="clear" w:color="auto" w:fill="FFFFFF"/>
        </w:rPr>
        <w:t>Strader, J. Kelly, and Lindsey Hay. "Lewd Stings: Extending Lawrence v. Texas to Discriminatory Enforcement." </w:t>
      </w:r>
      <w:r w:rsidRPr="002D0E09">
        <w:rPr>
          <w:rFonts w:ascii="Times New Roman" w:hAnsi="Times New Roman" w:cs="Times New Roman"/>
          <w:i/>
          <w:iCs/>
          <w:color w:val="222222"/>
          <w:shd w:val="clear" w:color="auto" w:fill="FFFFFF"/>
        </w:rPr>
        <w:t>Am. Crim. L. Rev.</w:t>
      </w:r>
      <w:r w:rsidRPr="002D0E09">
        <w:rPr>
          <w:rFonts w:ascii="Times New Roman" w:hAnsi="Times New Roman" w:cs="Times New Roman"/>
          <w:color w:val="222222"/>
          <w:shd w:val="clear" w:color="auto" w:fill="FFFFFF"/>
        </w:rPr>
        <w:t> 56 (2019): 465.</w:t>
      </w:r>
    </w:p>
    <w:p w:rsidR="00A84DD6" w:rsidRPr="002D0E09" w:rsidRDefault="00A84DD6" w:rsidP="002D0E09">
      <w:pPr>
        <w:shd w:val="clear" w:color="auto" w:fill="FFFFFF"/>
        <w:spacing w:line="480" w:lineRule="auto"/>
        <w:ind w:firstLine="720"/>
        <w:jc w:val="both"/>
        <w:rPr>
          <w:rFonts w:ascii="Times New Roman" w:eastAsia="Times New Roman" w:hAnsi="Times New Roman" w:cs="Times New Roman"/>
        </w:rPr>
      </w:pPr>
    </w:p>
    <w:p w:rsidR="00A84DD6" w:rsidRPr="002D0E09" w:rsidRDefault="00A84DD6" w:rsidP="002D0E09">
      <w:pPr>
        <w:spacing w:line="480" w:lineRule="auto"/>
        <w:rPr>
          <w:rFonts w:ascii="Times New Roman" w:hAnsi="Times New Roman" w:cs="Times New Roman"/>
          <w:b/>
          <w:shd w:val="clear" w:color="auto" w:fill="FFFFFF"/>
        </w:rPr>
      </w:pPr>
    </w:p>
    <w:p w:rsidR="006C43B9" w:rsidRPr="002D0E09" w:rsidRDefault="006C43B9" w:rsidP="002D0E09">
      <w:pPr>
        <w:spacing w:line="480" w:lineRule="auto"/>
        <w:rPr>
          <w:rFonts w:ascii="Times New Roman" w:hAnsi="Times New Roman" w:cs="Times New Roman"/>
        </w:rPr>
      </w:pPr>
    </w:p>
    <w:sectPr w:rsidR="006C43B9" w:rsidRPr="002D0E09" w:rsidSect="00DB5632">
      <w:head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58F" w:rsidRDefault="001A258F" w:rsidP="00A84DD6">
      <w:r>
        <w:separator/>
      </w:r>
    </w:p>
  </w:endnote>
  <w:endnote w:type="continuationSeparator" w:id="1">
    <w:p w:rsidR="001A258F" w:rsidRDefault="001A258F" w:rsidP="00A84D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58F" w:rsidRDefault="001A258F" w:rsidP="00A84DD6">
      <w:r>
        <w:separator/>
      </w:r>
    </w:p>
  </w:footnote>
  <w:footnote w:type="continuationSeparator" w:id="1">
    <w:p w:rsidR="001A258F" w:rsidRDefault="001A258F" w:rsidP="00A84D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755657724"/>
      <w:docPartObj>
        <w:docPartGallery w:val="Page Numbers (Top of Page)"/>
        <w:docPartUnique/>
      </w:docPartObj>
    </w:sdtPr>
    <w:sdtEndPr>
      <w:rPr>
        <w:noProof/>
      </w:rPr>
    </w:sdtEndPr>
    <w:sdtContent>
      <w:p w:rsidR="00A84DD6" w:rsidRPr="00A84DD6" w:rsidRDefault="00A84DD6">
        <w:pPr>
          <w:pStyle w:val="Header"/>
          <w:jc w:val="right"/>
          <w:rPr>
            <w:rFonts w:ascii="Times New Roman" w:hAnsi="Times New Roman" w:cs="Times New Roman"/>
          </w:rPr>
        </w:pPr>
        <w:r w:rsidRPr="00A84DD6">
          <w:rPr>
            <w:rFonts w:ascii="Times New Roman" w:hAnsi="Times New Roman" w:cs="Times New Roman"/>
          </w:rPr>
          <w:t xml:space="preserve">Surname </w:t>
        </w:r>
        <w:r w:rsidR="00007599" w:rsidRPr="00A84DD6">
          <w:rPr>
            <w:rFonts w:ascii="Times New Roman" w:hAnsi="Times New Roman" w:cs="Times New Roman"/>
          </w:rPr>
          <w:fldChar w:fldCharType="begin"/>
        </w:r>
        <w:r w:rsidRPr="00A84DD6">
          <w:rPr>
            <w:rFonts w:ascii="Times New Roman" w:hAnsi="Times New Roman" w:cs="Times New Roman"/>
          </w:rPr>
          <w:instrText xml:space="preserve"> PAGE   \* MERGEFORMAT </w:instrText>
        </w:r>
        <w:r w:rsidR="00007599" w:rsidRPr="00A84DD6">
          <w:rPr>
            <w:rFonts w:ascii="Times New Roman" w:hAnsi="Times New Roman" w:cs="Times New Roman"/>
          </w:rPr>
          <w:fldChar w:fldCharType="separate"/>
        </w:r>
        <w:r w:rsidR="00A6781D">
          <w:rPr>
            <w:rFonts w:ascii="Times New Roman" w:hAnsi="Times New Roman" w:cs="Times New Roman"/>
            <w:noProof/>
          </w:rPr>
          <w:t>6</w:t>
        </w:r>
        <w:r w:rsidR="00007599" w:rsidRPr="00A84DD6">
          <w:rPr>
            <w:rFonts w:ascii="Times New Roman" w:hAnsi="Times New Roman" w:cs="Times New Roman"/>
            <w:noProof/>
          </w:rPr>
          <w:fldChar w:fldCharType="end"/>
        </w:r>
      </w:p>
    </w:sdtContent>
  </w:sdt>
  <w:p w:rsidR="00A84DD6" w:rsidRDefault="00A84DD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1102"/>
    <w:rsid w:val="00007599"/>
    <w:rsid w:val="00044687"/>
    <w:rsid w:val="001A258F"/>
    <w:rsid w:val="002D0E09"/>
    <w:rsid w:val="006C43B9"/>
    <w:rsid w:val="00A31102"/>
    <w:rsid w:val="00A6781D"/>
    <w:rsid w:val="00A84DD6"/>
    <w:rsid w:val="00B559CB"/>
    <w:rsid w:val="00DB56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D6"/>
    <w:pPr>
      <w:spacing w:after="0" w:line="240" w:lineRule="auto"/>
    </w:pPr>
    <w:rPr>
      <w:rFonts w:asciiTheme="minorHAnsi" w:hAnsiTheme="minorHAnsi" w:cstheme="minorBidi"/>
      <w:color w:val="auto"/>
      <w:szCs w:val="24"/>
    </w:rPr>
  </w:style>
  <w:style w:type="paragraph" w:styleId="Heading1">
    <w:name w:val="heading 1"/>
    <w:basedOn w:val="Normal"/>
    <w:link w:val="Heading1Char"/>
    <w:uiPriority w:val="9"/>
    <w:qFormat/>
    <w:rsid w:val="00A84DD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DD6"/>
    <w:rPr>
      <w:rFonts w:eastAsia="Times New Roman"/>
      <w:b/>
      <w:bCs/>
      <w:color w:val="auto"/>
      <w:kern w:val="36"/>
      <w:sz w:val="48"/>
      <w:szCs w:val="48"/>
    </w:rPr>
  </w:style>
  <w:style w:type="character" w:styleId="Hyperlink">
    <w:name w:val="Hyperlink"/>
    <w:basedOn w:val="DefaultParagraphFont"/>
    <w:uiPriority w:val="99"/>
    <w:unhideWhenUsed/>
    <w:rsid w:val="00A84DD6"/>
    <w:rPr>
      <w:color w:val="0000FF"/>
      <w:u w:val="single"/>
    </w:rPr>
  </w:style>
  <w:style w:type="paragraph" w:styleId="Header">
    <w:name w:val="header"/>
    <w:basedOn w:val="Normal"/>
    <w:link w:val="HeaderChar"/>
    <w:uiPriority w:val="99"/>
    <w:unhideWhenUsed/>
    <w:rsid w:val="00A84DD6"/>
    <w:pPr>
      <w:tabs>
        <w:tab w:val="center" w:pos="4680"/>
        <w:tab w:val="right" w:pos="9360"/>
      </w:tabs>
    </w:pPr>
  </w:style>
  <w:style w:type="character" w:customStyle="1" w:styleId="HeaderChar">
    <w:name w:val="Header Char"/>
    <w:basedOn w:val="DefaultParagraphFont"/>
    <w:link w:val="Header"/>
    <w:uiPriority w:val="99"/>
    <w:rsid w:val="00A84DD6"/>
    <w:rPr>
      <w:rFonts w:asciiTheme="minorHAnsi" w:hAnsiTheme="minorHAnsi" w:cstheme="minorBidi"/>
      <w:color w:val="auto"/>
      <w:szCs w:val="24"/>
    </w:rPr>
  </w:style>
  <w:style w:type="paragraph" w:styleId="Footer">
    <w:name w:val="footer"/>
    <w:basedOn w:val="Normal"/>
    <w:link w:val="FooterChar"/>
    <w:uiPriority w:val="99"/>
    <w:unhideWhenUsed/>
    <w:rsid w:val="00A84DD6"/>
    <w:pPr>
      <w:tabs>
        <w:tab w:val="center" w:pos="4680"/>
        <w:tab w:val="right" w:pos="9360"/>
      </w:tabs>
    </w:pPr>
  </w:style>
  <w:style w:type="character" w:customStyle="1" w:styleId="FooterChar">
    <w:name w:val="Footer Char"/>
    <w:basedOn w:val="DefaultParagraphFont"/>
    <w:link w:val="Footer"/>
    <w:uiPriority w:val="99"/>
    <w:rsid w:val="00A84DD6"/>
    <w:rPr>
      <w:rFonts w:asciiTheme="minorHAnsi" w:hAnsiTheme="minorHAnsi" w:cstheme="minorBidi"/>
      <w:color w:val="auto"/>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yez.org/cases/1985/85-140" TargetMode="External"/><Relationship Id="rId13" Type="http://schemas.openxmlformats.org/officeDocument/2006/relationships/hyperlink" Target="https://www.foxnews.com/story/supreme-court-overturns-texas-gay-sex-ban" TargetMode="External"/><Relationship Id="rId3" Type="http://schemas.openxmlformats.org/officeDocument/2006/relationships/webSettings" Target="webSettings.xml"/><Relationship Id="rId7" Type="http://schemas.openxmlformats.org/officeDocument/2006/relationships/hyperlink" Target="https://www.oyez.org/cases/1985/85-140" TargetMode="External"/><Relationship Id="rId12" Type="http://schemas.openxmlformats.org/officeDocument/2006/relationships/hyperlink" Target="https://www.oyez.org/cases/1985/85-14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oyez.org/cases/1985/85-140" TargetMode="External"/><Relationship Id="rId11" Type="http://schemas.openxmlformats.org/officeDocument/2006/relationships/hyperlink" Target="mhtml:file://C:\Users\Waqar\Desktop\Lawrence%20v.%20Texas%20-%20Case%20Summary%20and%20Case%20Brief%20(1).mhtml!https://legaldictionary.net/bill-of-right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html:file://C:\Users\Waqar\Desktop\Lawrence%20v.%20Texas%20-%20Case%20Summary%20and%20Case%20Brief%20(1).mhtml!https://legaldictionary.net/stare-decisis/" TargetMode="External"/><Relationship Id="rId4" Type="http://schemas.openxmlformats.org/officeDocument/2006/relationships/footnotes" Target="footnotes.xml"/><Relationship Id="rId9" Type="http://schemas.openxmlformats.org/officeDocument/2006/relationships/hyperlink" Target="mhtml:file://C:\Users\Waqar\Desktop\Lawrence%20v.%20Texas%20-%20Case%20Summary%20and%20Case%20Brief%20(1).mhtml!https://legaldictionary.net/bowers-v-hardwic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1332</Words>
  <Characters>7596</Characters>
  <Application>Microsoft Office Word</Application>
  <DocSecurity>0</DocSecurity>
  <Lines>63</Lines>
  <Paragraphs>17</Paragraphs>
  <ScaleCrop>false</ScaleCrop>
  <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2020-04-16T05:48:00Z</dcterms:created>
  <dcterms:modified xsi:type="dcterms:W3CDTF">2020-04-16T05:48:00Z</dcterms:modified>
</cp:coreProperties>
</file>